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Pregão9_Bolas_Geral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 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-17135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62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p8M/TxnG2q+pZ2IQZiXl9mV8g==">CgMxLjAyDmguemIyb3Vzd2FsaTdtOAByITE3Nlh5al9MNHhaRGw5SFFrX3N4a0JxU2d6WnZEcjVSNg==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